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C" w:rsidRDefault="00AF744C" w:rsidP="00AF744C">
      <w:pPr>
        <w:jc w:val="center"/>
        <w:rPr>
          <w:sz w:val="44"/>
          <w:szCs w:val="44"/>
        </w:rPr>
      </w:pPr>
      <w:r>
        <w:rPr>
          <w:noProof/>
          <w:sz w:val="44"/>
          <w:szCs w:val="44"/>
        </w:rPr>
        <w:drawing>
          <wp:inline distT="0" distB="0" distL="0" distR="0">
            <wp:extent cx="2428875" cy="10008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BA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7467" cy="1000228"/>
                    </a:xfrm>
                    <a:prstGeom prst="rect">
                      <a:avLst/>
                    </a:prstGeom>
                  </pic:spPr>
                </pic:pic>
              </a:graphicData>
            </a:graphic>
          </wp:inline>
        </w:drawing>
      </w:r>
    </w:p>
    <w:p w:rsidR="003057AC" w:rsidRPr="00AF744C" w:rsidRDefault="00AF744C" w:rsidP="00AF744C">
      <w:pPr>
        <w:spacing w:after="0"/>
        <w:jc w:val="center"/>
        <w:rPr>
          <w:sz w:val="44"/>
          <w:szCs w:val="44"/>
        </w:rPr>
      </w:pPr>
      <w:r w:rsidRPr="00AF744C">
        <w:rPr>
          <w:sz w:val="44"/>
          <w:szCs w:val="44"/>
        </w:rPr>
        <w:t>BOAF – FHBA Joint Training- Building Code Seminar</w:t>
      </w:r>
    </w:p>
    <w:p w:rsidR="00AF744C" w:rsidRPr="00AF744C" w:rsidRDefault="00AF744C" w:rsidP="00AF744C">
      <w:pPr>
        <w:spacing w:after="0"/>
        <w:jc w:val="center"/>
        <w:rPr>
          <w:sz w:val="44"/>
          <w:szCs w:val="44"/>
        </w:rPr>
      </w:pPr>
      <w:r w:rsidRPr="00AF744C">
        <w:rPr>
          <w:sz w:val="44"/>
          <w:szCs w:val="44"/>
        </w:rPr>
        <w:t>April 28, 2016</w:t>
      </w:r>
    </w:p>
    <w:p w:rsidR="00AF744C" w:rsidRDefault="00AF744C" w:rsidP="00AF744C">
      <w:pPr>
        <w:spacing w:after="0"/>
        <w:jc w:val="center"/>
      </w:pPr>
      <w:r>
        <w:t>Advanced Technology College (ATC)</w:t>
      </w:r>
    </w:p>
    <w:p w:rsidR="00AF744C" w:rsidRDefault="00AF744C" w:rsidP="00AF744C">
      <w:pPr>
        <w:spacing w:after="0"/>
        <w:jc w:val="center"/>
      </w:pPr>
      <w:r>
        <w:t>1770 Technology Blvd.</w:t>
      </w:r>
    </w:p>
    <w:p w:rsidR="00AF744C" w:rsidRDefault="00AF744C" w:rsidP="00AF744C">
      <w:pPr>
        <w:spacing w:after="0"/>
        <w:jc w:val="center"/>
      </w:pPr>
      <w:r>
        <w:t>Room 109</w:t>
      </w:r>
    </w:p>
    <w:p w:rsidR="00AF744C" w:rsidRDefault="00AF744C" w:rsidP="00AF744C">
      <w:pPr>
        <w:spacing w:after="0"/>
        <w:jc w:val="center"/>
      </w:pPr>
      <w:r>
        <w:t>Daytona Beach, FL 32117</w:t>
      </w:r>
    </w:p>
    <w:p w:rsidR="00AF744C" w:rsidRDefault="00AF744C">
      <w:r>
        <w:t xml:space="preserve">Presenter:  John </w:t>
      </w:r>
      <w:proofErr w:type="spellStart"/>
      <w:r>
        <w:t>Farinelli</w:t>
      </w:r>
      <w:bookmarkStart w:id="0" w:name="_GoBack"/>
      <w:bookmarkEnd w:id="0"/>
      <w:proofErr w:type="spellEnd"/>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1"/>
        <w:gridCol w:w="8429"/>
      </w:tblGrid>
      <w:tr w:rsidR="00AF744C" w:rsidRPr="000966B3" w:rsidTr="00D92914">
        <w:trPr>
          <w:trHeight w:val="330"/>
          <w:tblCellSpacing w:w="0" w:type="dxa"/>
        </w:trPr>
        <w:tc>
          <w:tcPr>
            <w:tcW w:w="11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F744C" w:rsidRPr="000966B3" w:rsidRDefault="00AF744C" w:rsidP="00D92914">
            <w:pPr>
              <w:spacing w:after="150" w:line="240" w:lineRule="auto"/>
              <w:jc w:val="center"/>
              <w:rPr>
                <w:rFonts w:ascii="Arial" w:eastAsia="Times New Roman" w:hAnsi="Arial" w:cs="Arial"/>
                <w:color w:val="737373"/>
                <w:sz w:val="20"/>
                <w:szCs w:val="20"/>
              </w:rPr>
            </w:pPr>
            <w:r w:rsidRPr="000966B3">
              <w:rPr>
                <w:rFonts w:ascii="Calibri" w:eastAsia="Times New Roman" w:hAnsi="Calibri" w:cs="Arial"/>
                <w:color w:val="737373"/>
                <w:sz w:val="15"/>
                <w:szCs w:val="15"/>
              </w:rPr>
              <w:t>Times</w:t>
            </w:r>
          </w:p>
        </w:tc>
        <w:tc>
          <w:tcPr>
            <w:tcW w:w="8429"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jc w:val="center"/>
              <w:rPr>
                <w:rFonts w:ascii="Arial" w:eastAsia="Times New Roman" w:hAnsi="Arial" w:cs="Arial"/>
                <w:color w:val="737373"/>
                <w:sz w:val="20"/>
                <w:szCs w:val="20"/>
              </w:rPr>
            </w:pPr>
            <w:r w:rsidRPr="000966B3">
              <w:rPr>
                <w:rFonts w:ascii="Arial" w:eastAsia="Times New Roman" w:hAnsi="Arial" w:cs="Arial"/>
                <w:b/>
                <w:bCs/>
                <w:color w:val="737373"/>
                <w:sz w:val="20"/>
                <w:szCs w:val="20"/>
                <w:u w:val="single"/>
              </w:rPr>
              <w:t>Class Schedule</w:t>
            </w:r>
          </w:p>
        </w:tc>
      </w:tr>
      <w:tr w:rsidR="00AF744C" w:rsidRPr="000966B3" w:rsidTr="00D92914">
        <w:trPr>
          <w:trHeight w:val="308"/>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8:00 – 8:30</w:t>
            </w:r>
          </w:p>
        </w:tc>
        <w:tc>
          <w:tcPr>
            <w:tcW w:w="8429" w:type="dxa"/>
            <w:tcBorders>
              <w:top w:val="nil"/>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Registration</w:t>
            </w:r>
          </w:p>
        </w:tc>
      </w:tr>
      <w:tr w:rsidR="00AF744C" w:rsidRPr="000966B3" w:rsidTr="00D92914">
        <w:trPr>
          <w:trHeight w:val="597"/>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8:30 – 9:30</w:t>
            </w:r>
          </w:p>
        </w:tc>
        <w:tc>
          <w:tcPr>
            <w:tcW w:w="8429" w:type="dxa"/>
            <w:vMerge w:val="restart"/>
            <w:tcBorders>
              <w:top w:val="nil"/>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FBC – Building Chapters 7, 8 &amp; 9, Update 5</w:t>
            </w:r>
            <w:r w:rsidRPr="000966B3">
              <w:rPr>
                <w:rFonts w:ascii="Verdana" w:eastAsia="Times New Roman" w:hAnsi="Verdana" w:cs="Arial"/>
                <w:color w:val="737373"/>
                <w:sz w:val="15"/>
                <w:szCs w:val="15"/>
                <w:vertAlign w:val="superscript"/>
              </w:rPr>
              <w:t>th</w:t>
            </w:r>
            <w:r w:rsidRPr="000966B3">
              <w:rPr>
                <w:rFonts w:ascii="Calibri" w:eastAsia="Times New Roman" w:hAnsi="Calibri" w:cs="Arial"/>
                <w:color w:val="737373"/>
                <w:sz w:val="18"/>
                <w:szCs w:val="18"/>
              </w:rPr>
              <w:t xml:space="preserve"> Edition</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Provider # 0001001 - CILB # 0611028 - AIA # RS201601 – Preferred Provider # 6577</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This course will familiarize participants with the FBC requirements for fire rated construction, importance of flame spread and smoke development characteristics of interior finishes, and the application of fire protection systems.</w:t>
            </w:r>
          </w:p>
        </w:tc>
      </w:tr>
      <w:tr w:rsidR="00AF744C" w:rsidRPr="000966B3" w:rsidTr="00D92914">
        <w:trPr>
          <w:trHeight w:val="597"/>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9:30 – 10:30</w:t>
            </w:r>
          </w:p>
        </w:tc>
        <w:tc>
          <w:tcPr>
            <w:tcW w:w="0" w:type="auto"/>
            <w:vMerge/>
            <w:tcBorders>
              <w:top w:val="nil"/>
              <w:left w:val="nil"/>
              <w:bottom w:val="single" w:sz="6" w:space="0" w:color="auto"/>
              <w:right w:val="single" w:sz="6" w:space="0" w:color="auto"/>
            </w:tcBorders>
            <w:vAlign w:val="center"/>
            <w:hideMark/>
          </w:tcPr>
          <w:p w:rsidR="00AF744C" w:rsidRPr="000966B3" w:rsidRDefault="00AF744C" w:rsidP="00D92914">
            <w:pPr>
              <w:spacing w:after="0" w:line="240" w:lineRule="auto"/>
              <w:rPr>
                <w:rFonts w:ascii="Arial" w:eastAsia="Times New Roman" w:hAnsi="Arial" w:cs="Arial"/>
                <w:color w:val="737373"/>
                <w:sz w:val="20"/>
                <w:szCs w:val="20"/>
              </w:rPr>
            </w:pPr>
          </w:p>
        </w:tc>
      </w:tr>
      <w:tr w:rsidR="00AF744C" w:rsidRPr="000966B3" w:rsidTr="00D92914">
        <w:trPr>
          <w:trHeight w:val="582"/>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10:30 – 11:30</w:t>
            </w:r>
          </w:p>
        </w:tc>
        <w:tc>
          <w:tcPr>
            <w:tcW w:w="8429" w:type="dxa"/>
            <w:vMerge w:val="restart"/>
            <w:tcBorders>
              <w:top w:val="nil"/>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FBC – Building Chapter 10 Egress</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Provider # 0001001 - CILB # 0611131 - AIA # RS201602 – Preferred Provider # 6576</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Participants in this class will learn the essential principles for designing, constructing, and inspecting egress systems per FBC- Building Chapter 10.</w:t>
            </w:r>
          </w:p>
        </w:tc>
      </w:tr>
      <w:tr w:rsidR="00AF744C" w:rsidRPr="000966B3" w:rsidTr="00D92914">
        <w:trPr>
          <w:trHeight w:val="581"/>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11:30 – 12:30</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Arial" w:eastAsia="Times New Roman" w:hAnsi="Arial" w:cs="Arial"/>
                <w:color w:val="737373"/>
                <w:sz w:val="20"/>
                <w:szCs w:val="20"/>
              </w:rPr>
              <w:t> </w:t>
            </w:r>
          </w:p>
        </w:tc>
        <w:tc>
          <w:tcPr>
            <w:tcW w:w="0" w:type="auto"/>
            <w:vMerge/>
            <w:tcBorders>
              <w:top w:val="nil"/>
              <w:left w:val="nil"/>
              <w:bottom w:val="single" w:sz="6" w:space="0" w:color="auto"/>
              <w:right w:val="single" w:sz="6" w:space="0" w:color="auto"/>
            </w:tcBorders>
            <w:vAlign w:val="center"/>
            <w:hideMark/>
          </w:tcPr>
          <w:p w:rsidR="00AF744C" w:rsidRPr="000966B3" w:rsidRDefault="00AF744C" w:rsidP="00D92914">
            <w:pPr>
              <w:spacing w:after="0" w:line="240" w:lineRule="auto"/>
              <w:rPr>
                <w:rFonts w:ascii="Arial" w:eastAsia="Times New Roman" w:hAnsi="Arial" w:cs="Arial"/>
                <w:color w:val="737373"/>
                <w:sz w:val="20"/>
                <w:szCs w:val="20"/>
              </w:rPr>
            </w:pPr>
          </w:p>
        </w:tc>
      </w:tr>
      <w:tr w:rsidR="00AF744C" w:rsidRPr="000966B3" w:rsidTr="00D92914">
        <w:trPr>
          <w:trHeight w:val="330"/>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12:30 – 1:30</w:t>
            </w:r>
          </w:p>
        </w:tc>
        <w:tc>
          <w:tcPr>
            <w:tcW w:w="8429" w:type="dxa"/>
            <w:tcBorders>
              <w:top w:val="nil"/>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Lunch</w:t>
            </w:r>
          </w:p>
        </w:tc>
      </w:tr>
      <w:tr w:rsidR="00AF744C" w:rsidRPr="000966B3" w:rsidTr="00D92914">
        <w:trPr>
          <w:trHeight w:val="330"/>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1:30 – 2:30</w:t>
            </w:r>
          </w:p>
        </w:tc>
        <w:tc>
          <w:tcPr>
            <w:tcW w:w="8429" w:type="dxa"/>
            <w:vMerge w:val="restart"/>
            <w:tcBorders>
              <w:top w:val="nil"/>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2014 Advanced Significant Code Changes Florida Building Code, Building 5th Edition, Module I</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Provider # 0004764 - CILB # 0610634 - AIA # RS201607 – Preferred Provider # Pending</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It is the intent to familiarize the participants with the current edition of the Florida Building Code, Building Volume and the changes made during the current cycle. New sections and important revisions will be presented to provide the attendees with information related to the current edition of the Florida Building Code.</w:t>
            </w:r>
          </w:p>
        </w:tc>
      </w:tr>
      <w:tr w:rsidR="00AF744C" w:rsidRPr="000966B3" w:rsidTr="00D92914">
        <w:trPr>
          <w:trHeight w:val="330"/>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2:30 – 3:30</w:t>
            </w:r>
          </w:p>
        </w:tc>
        <w:tc>
          <w:tcPr>
            <w:tcW w:w="0" w:type="auto"/>
            <w:vMerge/>
            <w:tcBorders>
              <w:top w:val="nil"/>
              <w:left w:val="nil"/>
              <w:bottom w:val="single" w:sz="6" w:space="0" w:color="auto"/>
              <w:right w:val="single" w:sz="6" w:space="0" w:color="auto"/>
            </w:tcBorders>
            <w:vAlign w:val="center"/>
            <w:hideMark/>
          </w:tcPr>
          <w:p w:rsidR="00AF744C" w:rsidRPr="000966B3" w:rsidRDefault="00AF744C" w:rsidP="00D92914">
            <w:pPr>
              <w:spacing w:after="0" w:line="240" w:lineRule="auto"/>
              <w:rPr>
                <w:rFonts w:ascii="Arial" w:eastAsia="Times New Roman" w:hAnsi="Arial" w:cs="Arial"/>
                <w:color w:val="737373"/>
                <w:sz w:val="20"/>
                <w:szCs w:val="20"/>
              </w:rPr>
            </w:pPr>
          </w:p>
        </w:tc>
      </w:tr>
      <w:tr w:rsidR="00AF744C" w:rsidRPr="000966B3" w:rsidTr="00D92914">
        <w:trPr>
          <w:trHeight w:val="330"/>
          <w:tblCellSpacing w:w="0" w:type="dxa"/>
        </w:trPr>
        <w:tc>
          <w:tcPr>
            <w:tcW w:w="111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3:30 – 4:30</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Arial" w:eastAsia="Times New Roman" w:hAnsi="Arial" w:cs="Arial"/>
                <w:color w:val="737373"/>
                <w:sz w:val="20"/>
                <w:szCs w:val="20"/>
              </w:rPr>
              <w:t> </w:t>
            </w:r>
          </w:p>
        </w:tc>
        <w:tc>
          <w:tcPr>
            <w:tcW w:w="8429" w:type="dxa"/>
            <w:tcBorders>
              <w:top w:val="nil"/>
              <w:left w:val="nil"/>
              <w:bottom w:val="single" w:sz="6" w:space="0" w:color="auto"/>
              <w:right w:val="single" w:sz="6" w:space="0" w:color="auto"/>
            </w:tcBorders>
            <w:tcMar>
              <w:top w:w="0" w:type="dxa"/>
              <w:left w:w="108" w:type="dxa"/>
              <w:bottom w:w="0" w:type="dxa"/>
              <w:right w:w="108" w:type="dxa"/>
            </w:tcMar>
            <w:hideMark/>
          </w:tcPr>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The Role of the Building Official in Enforcing the Florida Lien Law</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Provider # 0001001 - CILB # 0009630 - AIA # RS201604 – Preferred Provider # 6574</w:t>
            </w:r>
          </w:p>
          <w:p w:rsidR="00AF744C" w:rsidRPr="000966B3" w:rsidRDefault="00AF744C" w:rsidP="00D92914">
            <w:pPr>
              <w:spacing w:after="150" w:line="240" w:lineRule="auto"/>
              <w:rPr>
                <w:rFonts w:ascii="Arial" w:eastAsia="Times New Roman" w:hAnsi="Arial" w:cs="Arial"/>
                <w:color w:val="737373"/>
                <w:sz w:val="20"/>
                <w:szCs w:val="20"/>
              </w:rPr>
            </w:pPr>
            <w:r w:rsidRPr="000966B3">
              <w:rPr>
                <w:rFonts w:ascii="Calibri" w:eastAsia="Times New Roman" w:hAnsi="Calibri" w:cs="Arial"/>
                <w:color w:val="737373"/>
                <w:sz w:val="18"/>
                <w:szCs w:val="18"/>
              </w:rPr>
              <w:t>This course will familiarize the participant with the statutory requirements of the Florida ... Lien Law during the building permit process.</w:t>
            </w:r>
          </w:p>
        </w:tc>
      </w:tr>
    </w:tbl>
    <w:p w:rsidR="00AF744C" w:rsidRDefault="00AF744C" w:rsidP="00AF744C"/>
    <w:sectPr w:rsidR="00AF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3"/>
    <w:rsid w:val="000074DA"/>
    <w:rsid w:val="000966B3"/>
    <w:rsid w:val="008C1D5C"/>
    <w:rsid w:val="00A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6B3"/>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6B3"/>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VBIA Office</dc:creator>
  <cp:lastModifiedBy>VBIA Office</cp:lastModifiedBy>
  <cp:revision>2</cp:revision>
  <dcterms:created xsi:type="dcterms:W3CDTF">2016-03-29T20:54:00Z</dcterms:created>
  <dcterms:modified xsi:type="dcterms:W3CDTF">2016-03-31T18:44:00Z</dcterms:modified>
</cp:coreProperties>
</file>